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rPr>
      </w:pPr>
    </w:p>
    <w:p>
      <w:pPr>
        <w:jc w:val="both"/>
        <w:rPr>
          <w:rFonts w:hint="eastAsia" w:ascii="黑体" w:hAnsi="黑体" w:eastAsia="黑体" w:cs="黑体"/>
          <w:b/>
          <w:bCs/>
          <w:sz w:val="56"/>
          <w:szCs w:val="96"/>
          <w:lang w:val="en-US" w:eastAsia="zh-CN"/>
        </w:rPr>
      </w:pPr>
      <w:r>
        <w:rPr>
          <w:rFonts w:hint="eastAsia" w:ascii="黑体" w:hAnsi="黑体" w:eastAsia="黑体" w:cs="黑体"/>
          <w:b/>
          <w:bCs/>
          <w:sz w:val="56"/>
          <w:szCs w:val="28"/>
        </w:rPr>
        <mc:AlternateContent>
          <mc:Choice Requires="wps">
            <w:drawing>
              <wp:anchor distT="0" distB="0" distL="114300" distR="114300" simplePos="0" relativeHeight="251658240" behindDoc="0" locked="0" layoutInCell="1" allowOverlap="1">
                <wp:simplePos x="0" y="0"/>
                <wp:positionH relativeFrom="column">
                  <wp:posOffset>3634740</wp:posOffset>
                </wp:positionH>
                <wp:positionV relativeFrom="paragraph">
                  <wp:posOffset>222250</wp:posOffset>
                </wp:positionV>
                <wp:extent cx="1206500" cy="826135"/>
                <wp:effectExtent l="0" t="0" r="12700" b="12065"/>
                <wp:wrapNone/>
                <wp:docPr id="1" name="文本框 1"/>
                <wp:cNvGraphicFramePr/>
                <a:graphic xmlns:a="http://schemas.openxmlformats.org/drawingml/2006/main">
                  <a:graphicData uri="http://schemas.microsoft.com/office/word/2010/wordprocessingShape">
                    <wps:wsp>
                      <wps:cNvSpPr txBox="1"/>
                      <wps:spPr>
                        <a:xfrm>
                          <a:off x="4624070" y="1489075"/>
                          <a:ext cx="1206500" cy="8261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黑体" w:hAnsi="黑体" w:eastAsia="黑体" w:cs="黑体"/>
                                <w:b/>
                                <w:bCs/>
                                <w:sz w:val="56"/>
                                <w:szCs w:val="96"/>
                                <w:lang w:val="en-US" w:eastAsia="zh-CN"/>
                              </w:rPr>
                            </w:pPr>
                            <w:r>
                              <w:rPr>
                                <w:rFonts w:hint="eastAsia" w:ascii="黑体" w:hAnsi="黑体" w:eastAsia="黑体" w:cs="黑体"/>
                                <w:b/>
                                <w:bCs/>
                                <w:sz w:val="56"/>
                                <w:szCs w:val="96"/>
                                <w:lang w:val="en-US" w:eastAsia="zh-CN"/>
                              </w:rPr>
                              <w:t>文 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6.2pt;margin-top:17.5pt;height:65.05pt;width:95pt;z-index:251658240;mso-width-relative:page;mso-height-relative:page;" fillcolor="#FFFFFF [3201]" filled="t" stroked="f" coordsize="21600,21600" o:gfxdata="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3NnoNdUAAAAKAQAADwAAAAAAAAABACAAAAAiAAAAZHJz&#10;L2Rvd25yZXYueG1sUEsBAhQAFAAAAAgAh07iQHD3zqJAAgAATQQAAA4AAAAAAAAAAQAgAAAAJAEA&#10;AGRycy9lMm9Eb2MueG1sUEsFBgAAAAAGAAYAWQEAANYFAAAAAA==&#10;">
                <v:fill on="t" focussize="0,0"/>
                <v:stroke on="f" weight="0.5pt"/>
                <v:imagedata o:title=""/>
                <o:lock v:ext="edit" aspectratio="f"/>
                <v:textbox>
                  <w:txbxContent>
                    <w:p>
                      <w:pPr>
                        <w:jc w:val="both"/>
                        <w:rPr>
                          <w:rFonts w:hint="eastAsia" w:ascii="黑体" w:hAnsi="黑体" w:eastAsia="黑体" w:cs="黑体"/>
                          <w:b/>
                          <w:bCs/>
                          <w:sz w:val="56"/>
                          <w:szCs w:val="96"/>
                          <w:lang w:val="en-US" w:eastAsia="zh-CN"/>
                        </w:rPr>
                      </w:pPr>
                      <w:r>
                        <w:rPr>
                          <w:rFonts w:hint="eastAsia" w:ascii="黑体" w:hAnsi="黑体" w:eastAsia="黑体" w:cs="黑体"/>
                          <w:b/>
                          <w:bCs/>
                          <w:sz w:val="56"/>
                          <w:szCs w:val="96"/>
                          <w:lang w:val="en-US" w:eastAsia="zh-CN"/>
                        </w:rPr>
                        <w:t>文 件</w:t>
                      </w:r>
                    </w:p>
                  </w:txbxContent>
                </v:textbox>
              </v:shape>
            </w:pict>
          </mc:Fallback>
        </mc:AlternateContent>
      </w:r>
      <w:r>
        <w:rPr>
          <w:rFonts w:hint="eastAsia" w:ascii="黑体" w:hAnsi="黑体" w:eastAsia="黑体" w:cs="黑体"/>
          <w:b/>
          <w:bCs/>
          <w:sz w:val="56"/>
          <w:szCs w:val="96"/>
          <w:lang w:val="en-US" w:eastAsia="zh-CN"/>
        </w:rPr>
        <w:t>教       育      部</w:t>
      </w:r>
    </w:p>
    <w:p>
      <w:pPr>
        <w:jc w:val="both"/>
        <w:rPr>
          <w:rFonts w:hint="eastAsia" w:asciiTheme="majorEastAsia" w:hAnsiTheme="majorEastAsia" w:eastAsiaTheme="majorEastAsia" w:cstheme="majorEastAsia"/>
          <w:b/>
          <w:bCs/>
          <w:sz w:val="56"/>
          <w:szCs w:val="96"/>
          <w:lang w:val="en-US" w:eastAsia="zh-CN"/>
        </w:rPr>
      </w:pPr>
      <w:r>
        <w:rPr>
          <w:rFonts w:hint="eastAsia" w:ascii="黑体" w:hAnsi="黑体" w:eastAsia="黑体" w:cs="黑体"/>
          <w:b/>
          <w:bCs/>
          <w:sz w:val="56"/>
          <w:szCs w:val="96"/>
          <w:lang w:val="en-US" w:eastAsia="zh-CN"/>
        </w:rPr>
        <w:t>科       技      部</w:t>
      </w:r>
    </w:p>
    <w:p>
      <w:pPr>
        <w:jc w:val="both"/>
        <w:rPr>
          <w:rFonts w:hint="eastAsia" w:ascii="黑体" w:hAnsi="黑体" w:eastAsia="黑体" w:cs="黑体"/>
        </w:rPr>
      </w:pPr>
    </w:p>
    <w:p>
      <w:pPr>
        <w:jc w:val="center"/>
        <w:rPr>
          <w:rFonts w:hint="eastAsia" w:ascii="黑体" w:hAnsi="黑体" w:eastAsia="黑体" w:cs="黑体"/>
          <w:sz w:val="24"/>
          <w:szCs w:val="32"/>
        </w:rPr>
      </w:pPr>
      <w:r>
        <w:rPr>
          <w:rFonts w:hint="eastAsia" w:ascii="黑体" w:hAnsi="黑体" w:eastAsia="黑体" w:cs="黑体"/>
          <w:sz w:val="24"/>
          <w:szCs w:val="32"/>
        </w:rPr>
        <w:t>教技〔2016〕3号</w:t>
      </w:r>
    </w:p>
    <w:p>
      <w:pPr>
        <w:jc w:val="center"/>
        <w:rPr>
          <w:rFonts w:hint="eastAsia" w:ascii="黑体" w:hAnsi="黑体" w:eastAsia="黑体" w:cs="黑体"/>
          <w:sz w:val="24"/>
          <w:szCs w:val="32"/>
        </w:rPr>
      </w:pPr>
    </w:p>
    <w:p>
      <w:pPr>
        <w:jc w:val="center"/>
        <w:rPr>
          <w:rFonts w:hint="eastAsia" w:ascii="黑体" w:hAnsi="黑体" w:eastAsia="黑体" w:cs="黑体"/>
          <w:sz w:val="24"/>
          <w:szCs w:val="32"/>
        </w:rPr>
      </w:pPr>
      <w:r>
        <w:rPr>
          <w:rFonts w:hint="eastAsia" w:ascii="黑体" w:hAnsi="黑体" w:eastAsia="黑体" w:cs="黑体"/>
          <w:sz w:val="24"/>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-19685</wp:posOffset>
                </wp:positionV>
                <wp:extent cx="5161280" cy="26670"/>
                <wp:effectExtent l="0" t="9525" r="1270" b="20955"/>
                <wp:wrapNone/>
                <wp:docPr id="14" name="直接连接符 14"/>
                <wp:cNvGraphicFramePr/>
                <a:graphic xmlns:a="http://schemas.openxmlformats.org/drawingml/2006/main">
                  <a:graphicData uri="http://schemas.microsoft.com/office/word/2010/wordprocessingShape">
                    <wps:wsp>
                      <wps:cNvCnPr/>
                      <wps:spPr>
                        <a:xfrm flipV="1">
                          <a:off x="1199515" y="2704465"/>
                          <a:ext cx="5161280" cy="2667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45pt;margin-top:-1.55pt;height:2.1pt;width:406.4pt;z-index:251666432;mso-width-relative:page;mso-height-relative:page;" filled="f" stroked="t" coordsize="21600,21600" o:gfxdata="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LN7YZ0wAAAAYBAAAPAAAA&#10;AAAAAAEAIAAAACIAAABkcnMvZG93bnJldi54bWxQSwECFAAUAAAACACHTuJAPb0+guEBAACAAwAA&#10;DgAAAAAAAAABACAAAAAiAQAAZHJzL2Uyb0RvYy54bWxQSwUGAAAAAAYABgBZAQAAdQUAAAAA&#10;">
                <v:fill on="f" focussize="0,0"/>
                <v:stroke weight="1.5pt" color="#000000 [3200]" miterlimit="8" joinstyle="miter"/>
                <v:imagedata o:title=""/>
                <o:lock v:ext="edit" aspectratio="f"/>
              </v:line>
            </w:pict>
          </mc:Fallback>
        </mc:AlternateContent>
      </w:r>
    </w:p>
    <w:p>
      <w:pPr>
        <w:jc w:val="center"/>
        <w:rPr>
          <w:rFonts w:hint="eastAsia" w:asciiTheme="minorEastAsia" w:hAnsiTheme="minorEastAsia" w:eastAsiaTheme="minorEastAsia" w:cstheme="minorEastAsia"/>
          <w:b/>
          <w:bCs/>
          <w:sz w:val="28"/>
          <w:szCs w:val="36"/>
        </w:rPr>
      </w:pPr>
      <w:bookmarkStart w:id="0" w:name="_GoBack"/>
      <w:r>
        <w:rPr>
          <w:rFonts w:hint="eastAsia" w:asciiTheme="minorEastAsia" w:hAnsiTheme="minorEastAsia" w:eastAsiaTheme="minorEastAsia" w:cstheme="minorEastAsia"/>
          <w:b/>
          <w:bCs/>
          <w:sz w:val="28"/>
          <w:szCs w:val="36"/>
        </w:rPr>
        <w:t>教育部 科技部关于加强高等学校科技成果</w:t>
      </w:r>
    </w:p>
    <w:p>
      <w:pPr>
        <w:jc w:val="center"/>
        <w:rPr>
          <w:rFonts w:hint="eastAsia" w:asciiTheme="minorEastAsia" w:hAnsiTheme="minorEastAsia" w:eastAsiaTheme="minorEastAsia" w:cstheme="minorEastAsia"/>
          <w:b/>
          <w:bCs/>
          <w:sz w:val="28"/>
          <w:szCs w:val="36"/>
        </w:rPr>
      </w:pPr>
      <w:r>
        <w:rPr>
          <w:rFonts w:hint="eastAsia" w:asciiTheme="minorEastAsia" w:hAnsiTheme="minorEastAsia" w:eastAsiaTheme="minorEastAsia" w:cstheme="minorEastAsia"/>
          <w:b/>
          <w:bCs/>
          <w:sz w:val="28"/>
          <w:szCs w:val="36"/>
        </w:rPr>
        <w:t>转移转化工作的若干意见</w:t>
      </w:r>
    </w:p>
    <w:bookmarkEnd w:id="0"/>
    <w:p>
      <w:pPr>
        <w:jc w:val="center"/>
        <w:rPr>
          <w:rFonts w:hint="eastAsia" w:asciiTheme="minorEastAsia" w:hAnsiTheme="minorEastAsia" w:eastAsiaTheme="minorEastAsia" w:cstheme="minorEastAsia"/>
          <w:b/>
          <w:bCs/>
          <w:sz w:val="28"/>
          <w:szCs w:val="36"/>
        </w:rPr>
      </w:pP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 w:val="28"/>
          <w:szCs w:val="36"/>
        </w:rPr>
        <w:t>各省、自治区、直辖市教育厅（教委）、科技厅（科委），新疆生产建设兵团教育局、科技局，教育部直属各高等学校：</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lt;中华人民共和国促进科技成果转化法&gt;若干规定》和国务院办公厅《促进科技成果转移转化行动方案》，结合高校实际，提出如下意见：</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一、全面认识高校科技成果转移转化工作。</w:t>
      </w:r>
      <w:r>
        <w:rPr>
          <w:rFonts w:hint="eastAsia" w:asciiTheme="minorEastAsia" w:hAnsiTheme="minorEastAsia" w:eastAsiaTheme="minorEastAsia" w:cstheme="minorEastAsia"/>
          <w:sz w:val="28"/>
          <w:szCs w:val="36"/>
        </w:rPr>
        <w:t>科技成果转化是高校科技活动的重要内容，高校要引导科研工作和经济社会发展需求更加紧密结合, 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建设，为经济社会发展提供技术支撑和政策建议；高校作为人才培养的主阵地，更要引导、激励科研人员教书育人，注重知识扩散和转移，及时将科研成果转化为教育教学、学科专业发展资源，提高人才培养质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二、简政放权鼓励科技成果转移转化。</w:t>
      </w:r>
      <w:r>
        <w:rPr>
          <w:rFonts w:hint="eastAsia" w:asciiTheme="minorEastAsia" w:hAnsiTheme="minorEastAsia" w:eastAsiaTheme="minorEastAsia" w:cstheme="minorEastAsia"/>
          <w:sz w:val="28"/>
          <w:szCs w:val="36"/>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三、建立健全科技成果转移转化工作机制。</w:t>
      </w:r>
      <w:r>
        <w:rPr>
          <w:rFonts w:hint="eastAsia" w:asciiTheme="minorEastAsia" w:hAnsiTheme="minorEastAsia" w:eastAsiaTheme="minorEastAsia" w:cstheme="minorEastAsia"/>
          <w:sz w:val="28"/>
          <w:szCs w:val="36"/>
        </w:rPr>
        <w:t>高校要加强对科技成果转移转化的管理、组织和协调，成立科技成果转移转化工作领导小组，建立科技成果转移转化重大事项领导班子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拟交易价格、价格形成过程等，公示时间不少于15日。高校对科技成果的使用、处置在校内实行公示制度，同时明确并公开异议处理程序和办法。涉及国家秘密和国家安全的，按国家相关规定执行。</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四、加强科技成果转移转化能力建设。</w:t>
      </w:r>
      <w:r>
        <w:rPr>
          <w:rFonts w:hint="eastAsia" w:asciiTheme="minorEastAsia" w:hAnsiTheme="minorEastAsia" w:eastAsiaTheme="minorEastAsia" w:cstheme="minorEastAsia"/>
          <w:sz w:val="28"/>
          <w:szCs w:val="36"/>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成果的宣传和展览展示；鼓励科研人员面向企业开展技术开发、技术咨询和技术服务等横向合作，与企业联合实施科技成果转化。</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五、健全以增加知识价值为导向的收益分配政策。</w:t>
      </w:r>
      <w:r>
        <w:rPr>
          <w:rFonts w:hint="eastAsia" w:asciiTheme="minorEastAsia" w:hAnsiTheme="minorEastAsia" w:eastAsiaTheme="minorEastAsia" w:cstheme="minorEastAsia"/>
          <w:sz w:val="28"/>
          <w:szCs w:val="36"/>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高校依法对职务科技成果完成人和为成果转化作出重要贡献的其他人员给予奖励时，按照以下规定执行：</w:t>
      </w:r>
      <w:r>
        <w:rPr>
          <w:rFonts w:hint="eastAsia" w:asciiTheme="minorEastAsia" w:hAnsiTheme="minorEastAsia" w:eastAsiaTheme="minorEastAsia" w:cstheme="minorEastAsia"/>
          <w:color w:val="C00000"/>
          <w:sz w:val="28"/>
          <w:szCs w:val="36"/>
        </w:rPr>
        <w:t>以技术转让或者许可方式转化职务科技成果的，应当从技术转让或者许可所取得的净收入中提取不低于50%的比例用于奖励；以科技成果作价投资实施转化的，应当从作价投资取得的股份或者出资比例中提取不低于50%的比例用于奖励；在研究开发和科技成果转化中作出主要贡献的人员，获得奖励的份额不低于总额的50%。成果转移转化收益扣除对上述人员的奖励和报酬后，应当主要用于科学技术研发与成果转移转化等相关工作，并支持技术转移机构的运行和发展。</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担任高校正职领导以及高校所属具有独立法人资格单位的正职领导，是科技成果的主要完成人或者为成果转移转化作出重要贡献的，可以按照学校制定的成果转移转化奖励和收益分配办法给予现金奖励，原则上不得给予股权激励；其他担任领导职务的科技人员，是科技成果的主要完成人或者为成果转移转化作出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高校科技人员面向企业开展技术开发、技术咨询、技术服务、技术培训等横向合作活动，是高校科技成果转化的重要形式，其管理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科技成果转移转化的奖励和报酬的支出，计入单位当年工资总额，不受单位当年工资总额限制，不纳入单位工资总额基数。</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六、完善有利于科技成果转移转化的人事管理制度。</w:t>
      </w:r>
      <w:r>
        <w:rPr>
          <w:rFonts w:hint="eastAsia" w:asciiTheme="minorEastAsia" w:hAnsiTheme="minorEastAsia" w:eastAsiaTheme="minorEastAsia" w:cstheme="minorEastAsia"/>
          <w:sz w:val="28"/>
          <w:szCs w:val="36"/>
        </w:rPr>
        <w:t>高校科技人员在履行岗位职责、完成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作出规定并在校内公示。担任领导职务的科技人员的兼职管理，按中央有关规定执行。鼓励高校设立专门的科技成果转化岗位并建立相应的评聘制度。鼓励高校设立一定比例的流动岗位，聘请有创新实践经验的企业家和企业科技人才兼职从事教学和科研工作。教育部将组织高校开展将企业任职经历作为新聘工程类教师必要条件的试点，加大对应用型本科和高职院校专业教师在校企之间的交流力度。</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七、支持学生创新创业。</w:t>
      </w:r>
      <w:r>
        <w:rPr>
          <w:rFonts w:hint="eastAsia" w:asciiTheme="minorEastAsia" w:hAnsiTheme="minorEastAsia" w:eastAsiaTheme="minorEastAsia" w:cstheme="minorEastAsia"/>
          <w:sz w:val="28"/>
          <w:szCs w:val="36"/>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微创新实验室、创新创业俱乐部等，发展众创、众包、众扶、众筹空间等新型孵化模式。鼓励国家大学科技园组织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　八、推进科研设施和仪器设备开放共享。</w:t>
      </w:r>
      <w:r>
        <w:rPr>
          <w:rFonts w:hint="eastAsia" w:asciiTheme="minorEastAsia" w:hAnsiTheme="minorEastAsia" w:eastAsiaTheme="minorEastAsia" w:cstheme="minorEastAsia"/>
          <w:sz w:val="28"/>
          <w:szCs w:val="36"/>
        </w:rPr>
        <w:t>鼓励高校与企业、研究开发机构及其他组织联合建立研究开发平台、技术转移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家工商、价格管理等规定办理，收入、支出纳入学校财务统一管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九、建立科技成果转移转化年度报告制度和绩效评价机制。</w:t>
      </w:r>
      <w:r>
        <w:rPr>
          <w:rFonts w:hint="eastAsia" w:asciiTheme="minorEastAsia" w:hAnsiTheme="minorEastAsia" w:eastAsiaTheme="minorEastAsia" w:cstheme="minorEastAsia"/>
          <w:sz w:val="28"/>
          <w:szCs w:val="36"/>
        </w:rPr>
        <w:t>按照国家科技成果年度报告制度的要求，高校要按期以规定格式向主管部门报送年度科技成果许可、转让、作价投资以及推进产学研合作、科技成果转移转化绩效和奖励等情况，并对全年科技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价结果作为对高校给予支持的重要依据之一。高校科技成果转移转化绩效纳入世界一流大学和一流学科建设考核评价体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w:t>
      </w:r>
      <w:r>
        <w:rPr>
          <w:rFonts w:hint="eastAsia" w:asciiTheme="minorEastAsia" w:hAnsiTheme="minorEastAsia" w:eastAsiaTheme="minorEastAsia" w:cstheme="minorEastAsia"/>
          <w:b/>
          <w:bCs/>
          <w:sz w:val="28"/>
          <w:szCs w:val="36"/>
        </w:rPr>
        <w:t>十、切实加强领导，认真组织实施。</w:t>
      </w:r>
      <w:r>
        <w:rPr>
          <w:rFonts w:hint="eastAsia" w:asciiTheme="minorEastAsia" w:hAnsiTheme="minorEastAsia" w:eastAsiaTheme="minorEastAsia" w:cstheme="minorEastAsia"/>
          <w:sz w:val="28"/>
          <w:szCs w:val="36"/>
        </w:rPr>
        <w:t>各省级教育、科技行政部门，各高校要认真学习贯彻“创新是引领发展的第一动力”的深刻内涵，将思想和行动统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肃查处。教育部将组织实施促进高校科技成果转移转化行动计划，引导高校进一步完善科技成果转移转化的体制机制，为经济社会发展提供科技支撑和智力支持。</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　　本意见自发布之日起施行，执行过程中遇到的问题，请及时向教育部科学技术司、科学技术部创新发展司反馈。此前有关规定与本意见不一致的，按本意见执行。</w:t>
      </w:r>
    </w:p>
    <w:p>
      <w:pPr>
        <w:jc w:val="right"/>
        <w:rPr>
          <w:rFonts w:hint="eastAsia" w:asciiTheme="minorEastAsia" w:hAnsiTheme="minorEastAsia" w:eastAsiaTheme="minorEastAsia" w:cstheme="minorEastAsia"/>
          <w:sz w:val="28"/>
          <w:szCs w:val="36"/>
        </w:rPr>
      </w:pPr>
    </w:p>
    <w:p>
      <w:pPr>
        <w:jc w:val="right"/>
        <w:rPr>
          <w:rFonts w:hint="eastAsia" w:asciiTheme="minorEastAsia" w:hAnsiTheme="minorEastAsia" w:eastAsiaTheme="minorEastAsia" w:cstheme="minorEastAsia"/>
          <w:sz w:val="28"/>
          <w:szCs w:val="36"/>
        </w:rPr>
      </w:pPr>
    </w:p>
    <w:p>
      <w:pPr>
        <w:wordWrap w:val="0"/>
        <w:jc w:val="right"/>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教育部</w:t>
      </w: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科技部</w:t>
      </w:r>
      <w:r>
        <w:rPr>
          <w:rFonts w:hint="eastAsia" w:asciiTheme="minorEastAsia" w:hAnsiTheme="minorEastAsia" w:eastAsiaTheme="minorEastAsia" w:cstheme="minorEastAsia"/>
          <w:sz w:val="28"/>
          <w:szCs w:val="36"/>
          <w:lang w:val="en-US" w:eastAsia="zh-CN"/>
        </w:rPr>
        <w:t xml:space="preserve">       </w:t>
      </w:r>
    </w:p>
    <w:p>
      <w:pPr>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lang w:val="en-US" w:eastAsia="zh-CN"/>
        </w:rPr>
        <w:t xml:space="preserve">                                      </w:t>
      </w:r>
      <w:r>
        <w:rPr>
          <w:rFonts w:hint="eastAsia" w:asciiTheme="minorEastAsia" w:hAnsiTheme="minorEastAsia" w:eastAsiaTheme="minorEastAsia" w:cstheme="minorEastAsia"/>
          <w:sz w:val="28"/>
          <w:szCs w:val="36"/>
        </w:rPr>
        <w:t>2016年8月3日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92C92"/>
    <w:rsid w:val="21477511"/>
    <w:rsid w:val="52E92C92"/>
    <w:rsid w:val="6DB223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2016-11-15T02:48:00Z</dcterms:created>
  <dc:creator>Administrator</dc:creator>
  <cp:lastModifiedBy>赫连涛~</cp:lastModifiedBy>
  <cp:lastPrinted>2016-11-15T03:11:00Z</cp:lastPrinted>
  <dcterms:modified xsi:type="dcterms:W3CDTF">2018-03-15T09:23:34Z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